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F55F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济南鲍德冶金石灰石有限公司</w:t>
      </w:r>
    </w:p>
    <w:p w14:paraId="55A241B7">
      <w:pPr>
        <w:spacing w:before="156" w:beforeLines="50" w:line="480" w:lineRule="auto"/>
        <w:jc w:val="center"/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  <w:t>运矿道路东侧绿化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竞争性谈判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公告</w:t>
      </w:r>
    </w:p>
    <w:p w14:paraId="3A786002">
      <w:pPr>
        <w:spacing w:before="156" w:beforeLines="50" w:line="480" w:lineRule="auto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(</w:t>
      </w:r>
      <w:r>
        <w:rPr>
          <w:rFonts w:hint="eastAsia" w:ascii="仿宋_GB2312" w:eastAsia="仿宋_GB2312"/>
          <w:kern w:val="0"/>
          <w:sz w:val="32"/>
          <w:szCs w:val="32"/>
        </w:rPr>
        <w:t>谈判编号：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1253260608001</w:t>
      </w:r>
      <w:r>
        <w:rPr>
          <w:rFonts w:ascii="仿宋_GB2312" w:eastAsia="仿宋_GB2312"/>
          <w:kern w:val="0"/>
          <w:sz w:val="32"/>
          <w:szCs w:val="32"/>
        </w:rPr>
        <w:t xml:space="preserve"> )</w:t>
      </w:r>
    </w:p>
    <w:p w14:paraId="55DD743D">
      <w:pPr>
        <w:spacing w:before="156" w:beforeLines="50" w:line="480" w:lineRule="auto"/>
        <w:jc w:val="center"/>
        <w:rPr>
          <w:rFonts w:ascii="仿宋_GB2312" w:eastAsia="仿宋_GB2312"/>
          <w:kern w:val="0"/>
          <w:sz w:val="32"/>
          <w:szCs w:val="32"/>
        </w:rPr>
      </w:pPr>
    </w:p>
    <w:p w14:paraId="598AA701">
      <w:pPr>
        <w:spacing w:before="156" w:beforeLines="50" w:line="480" w:lineRule="auto"/>
        <w:jc w:val="center"/>
        <w:rPr>
          <w:rFonts w:ascii="仿宋_GB2312" w:eastAsia="仿宋_GB2312"/>
          <w:b/>
          <w:spacing w:val="-20"/>
          <w:sz w:val="44"/>
          <w:szCs w:val="44"/>
        </w:rPr>
      </w:pPr>
    </w:p>
    <w:p w14:paraId="1EEE7F40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725898E5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64A2012E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21073DA4">
      <w:pPr>
        <w:widowControl/>
        <w:tabs>
          <w:tab w:val="left" w:leader="underscore" w:pos="4802"/>
        </w:tabs>
        <w:spacing w:after="360"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  <w:u w:val="thick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邀请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人：济南鲍德冶金石灰石有限公司</w:t>
      </w:r>
    </w:p>
    <w:p w14:paraId="2A14E74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hint="eastAsia" w:ascii="方正小标宋简体" w:hAnsi="仿宋" w:eastAsia="方正小标宋简体"/>
          <w:kern w:val="0"/>
          <w:sz w:val="32"/>
          <w:szCs w:val="32"/>
          <w:lang w:eastAsia="zh-CN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</w:rPr>
        <w:t xml:space="preserve">     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eastAsia="zh-CN"/>
        </w:rPr>
        <w:t>2026年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eastAsia="zh-CN"/>
        </w:rPr>
        <w:t>月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8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eastAsia="zh-CN"/>
        </w:rPr>
        <w:t>日</w:t>
      </w:r>
    </w:p>
    <w:p w14:paraId="31E4CDA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1552A56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22334B7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4085D87">
      <w:pPr>
        <w:pStyle w:val="5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5314175E">
      <w:pPr>
        <w:pStyle w:val="5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46F3785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7C61CF0D">
      <w:pPr>
        <w:pStyle w:val="4"/>
        <w:tabs>
          <w:tab w:val="right" w:leader="dot" w:pos="8296"/>
        </w:tabs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目      录</w:t>
      </w:r>
    </w:p>
    <w:p w14:paraId="0A709197">
      <w:pPr>
        <w:pStyle w:val="4"/>
        <w:tabs>
          <w:tab w:val="right" w:leader="dot" w:pos="8296"/>
        </w:tabs>
        <w:rPr>
          <w:rFonts w:ascii="方正小标宋简体" w:eastAsia="方正小标宋简体"/>
          <w:kern w:val="0"/>
          <w:sz w:val="32"/>
          <w:szCs w:val="32"/>
        </w:rPr>
      </w:pPr>
    </w:p>
    <w:p w14:paraId="46709619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 w:val="36"/>
          <w:szCs w:val="36"/>
        </w:rPr>
        <w:fldChar w:fldCharType="begin"/>
      </w:r>
      <w:r>
        <w:rPr>
          <w:rFonts w:hint="eastAsia" w:ascii="宋体" w:hAnsi="宋体" w:cs="宋体"/>
          <w:kern w:val="0"/>
          <w:sz w:val="36"/>
          <w:szCs w:val="36"/>
        </w:rPr>
        <w:instrText xml:space="preserve">TOC \o "1-1" \h \u </w:instrText>
      </w:r>
      <w:r>
        <w:rPr>
          <w:rFonts w:hint="eastAsia" w:ascii="宋体" w:hAnsi="宋体" w:cs="宋体"/>
          <w:kern w:val="0"/>
          <w:sz w:val="36"/>
          <w:szCs w:val="36"/>
        </w:rPr>
        <w:fldChar w:fldCharType="separate"/>
      </w: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_Toc24954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微软雅黑" w:hAnsi="微软雅黑" w:eastAsia="微软雅黑" w:cs="微软雅黑"/>
          <w:bCs/>
          <w:szCs w:val="32"/>
        </w:rPr>
        <w:t>第一章 竞争性谈判公告</w:t>
      </w:r>
      <w:r>
        <w:tab/>
      </w:r>
      <w:r>
        <w:fldChar w:fldCharType="begin"/>
      </w:r>
      <w:r>
        <w:instrText xml:space="preserve"> PAGEREF _Toc24954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3D34C7A4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_Toc26989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微软雅黑" w:hAnsi="微软雅黑" w:eastAsia="微软雅黑" w:cs="微软雅黑"/>
          <w:bCs/>
          <w:szCs w:val="32"/>
        </w:rPr>
        <w:t>第二章 参与人须知</w:t>
      </w:r>
      <w:r>
        <w:tab/>
      </w:r>
      <w:r>
        <w:fldChar w:fldCharType="begin"/>
      </w:r>
      <w:r>
        <w:instrText xml:space="preserve"> PAGEREF _Toc26989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23EDE903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_Toc10445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微软雅黑" w:hAnsi="微软雅黑" w:eastAsia="微软雅黑" w:cs="微软雅黑"/>
          <w:bCs/>
          <w:kern w:val="0"/>
          <w:szCs w:val="32"/>
        </w:rPr>
        <w:t>第三章  合同条款及格式</w:t>
      </w:r>
      <w:r>
        <w:tab/>
      </w:r>
      <w:r>
        <w:fldChar w:fldCharType="begin"/>
      </w:r>
      <w:r>
        <w:instrText xml:space="preserve"> PAGEREF _Toc10445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4813286D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_Toc4278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微软雅黑" w:hAnsi="微软雅黑" w:eastAsia="微软雅黑" w:cs="微软雅黑"/>
          <w:szCs w:val="32"/>
        </w:rPr>
        <w:t>第四章 响应文件格式</w:t>
      </w:r>
      <w:r>
        <w:tab/>
      </w:r>
      <w:r>
        <w:fldChar w:fldCharType="begin"/>
      </w:r>
      <w:r>
        <w:instrText xml:space="preserve"> PAGEREF _Toc4278 \h </w:instrText>
      </w:r>
      <w:r>
        <w:fldChar w:fldCharType="separate"/>
      </w:r>
      <w:r>
        <w:t>19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0BAE29DF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_Toc9165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cs="黑体"/>
        </w:rPr>
        <w:t>一、商务文件</w:t>
      </w:r>
      <w:r>
        <w:tab/>
      </w:r>
      <w:r>
        <w:fldChar w:fldCharType="begin"/>
      </w:r>
      <w:r>
        <w:instrText xml:space="preserve"> PAGEREF _Toc9165 \h </w:instrText>
      </w:r>
      <w:r>
        <w:fldChar w:fldCharType="separate"/>
      </w:r>
      <w:r>
        <w:t>20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7D9E987E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_Toc4934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黑体" w:cs="黑体"/>
          <w:szCs w:val="28"/>
        </w:rPr>
        <w:t>二、资格证明文件</w:t>
      </w:r>
      <w:r>
        <w:tab/>
      </w:r>
      <w:r>
        <w:fldChar w:fldCharType="begin"/>
      </w:r>
      <w:r>
        <w:instrText xml:space="preserve"> PAGEREF _Toc4934 \h </w:instrText>
      </w:r>
      <w:r>
        <w:fldChar w:fldCharType="separate"/>
      </w:r>
      <w:r>
        <w:t>23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24481EC5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_Toc28431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黑体" w:hAnsi="宋体" w:eastAsia="黑体"/>
        </w:rPr>
        <w:t>（一）参与人基本情况表</w:t>
      </w:r>
      <w:r>
        <w:tab/>
      </w:r>
      <w:r>
        <w:fldChar w:fldCharType="begin"/>
      </w:r>
      <w:r>
        <w:instrText xml:space="preserve"> PAGEREF _Toc28431 \h </w:instrText>
      </w:r>
      <w:r>
        <w:fldChar w:fldCharType="separate"/>
      </w:r>
      <w:r>
        <w:t>25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46DF3213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_Toc12229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黑体" w:hAnsi="宋体" w:eastAsia="黑体"/>
        </w:rPr>
        <w:t>（二）近年财务状况</w:t>
      </w:r>
      <w:r>
        <w:tab/>
      </w:r>
      <w:r>
        <w:fldChar w:fldCharType="begin"/>
      </w:r>
      <w:r>
        <w:instrText xml:space="preserve"> PAGEREF _Toc12229 \h </w:instrText>
      </w:r>
      <w:r>
        <w:fldChar w:fldCharType="separate"/>
      </w:r>
      <w:r>
        <w:t>26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7853FB0D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_Toc14687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黑体" w:hAnsi="宋体" w:eastAsia="黑体"/>
        </w:rPr>
        <w:t>（三）近年发生的诉讼和仲裁情况</w:t>
      </w:r>
      <w:r>
        <w:tab/>
      </w:r>
      <w:r>
        <w:fldChar w:fldCharType="begin"/>
      </w:r>
      <w:r>
        <w:instrText xml:space="preserve"> PAGEREF _Toc14687 \h </w:instrText>
      </w:r>
      <w:r>
        <w:fldChar w:fldCharType="separate"/>
      </w:r>
      <w:r>
        <w:t>26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5544CD20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_Toc8590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微软雅黑" w:hAnsi="微软雅黑" w:eastAsia="微软雅黑" w:cs="微软雅黑"/>
          <w:szCs w:val="32"/>
        </w:rPr>
        <w:t xml:space="preserve">第五章   </w:t>
      </w:r>
      <w:r>
        <w:rPr>
          <w:rFonts w:hint="eastAsia" w:ascii="微软雅黑" w:hAnsi="微软雅黑" w:eastAsia="微软雅黑" w:cs="微软雅黑"/>
          <w:szCs w:val="32"/>
          <w:lang w:val="en-US" w:eastAsia="zh-CN"/>
        </w:rPr>
        <w:t>报 价 单</w:t>
      </w:r>
      <w:r>
        <w:tab/>
      </w:r>
      <w:r>
        <w:fldChar w:fldCharType="begin"/>
      </w:r>
      <w:r>
        <w:instrText xml:space="preserve"> PAGEREF _Toc8590 \h </w:instrText>
      </w:r>
      <w:r>
        <w:fldChar w:fldCharType="separate"/>
      </w:r>
      <w:r>
        <w:t>28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7331DB4C">
      <w:pPr>
        <w:pStyle w:val="4"/>
        <w:tabs>
          <w:tab w:val="right" w:leader="dot" w:pos="8306"/>
        </w:tabs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74E0747B">
      <w:pPr>
        <w:rPr>
          <w:rFonts w:ascii="宋体" w:hAnsi="宋体" w:cs="宋体"/>
          <w:kern w:val="0"/>
          <w:sz w:val="36"/>
          <w:szCs w:val="36"/>
        </w:rPr>
      </w:pPr>
    </w:p>
    <w:p w14:paraId="6962D25E">
      <w:pPr>
        <w:rPr>
          <w:rFonts w:ascii="宋体" w:hAnsi="宋体" w:cs="宋体"/>
          <w:kern w:val="0"/>
          <w:sz w:val="36"/>
          <w:szCs w:val="36"/>
        </w:rPr>
      </w:pPr>
    </w:p>
    <w:p w14:paraId="6258EF78">
      <w:pPr>
        <w:rPr>
          <w:rFonts w:ascii="宋体" w:hAnsi="宋体" w:cs="宋体"/>
          <w:kern w:val="0"/>
          <w:sz w:val="36"/>
          <w:szCs w:val="36"/>
        </w:rPr>
      </w:pPr>
    </w:p>
    <w:p w14:paraId="37F824B7">
      <w:pPr>
        <w:rPr>
          <w:rFonts w:ascii="宋体" w:hAnsi="宋体" w:cs="宋体"/>
          <w:kern w:val="0"/>
          <w:sz w:val="36"/>
          <w:szCs w:val="36"/>
        </w:rPr>
      </w:pPr>
    </w:p>
    <w:p w14:paraId="1BF9E300">
      <w:pPr>
        <w:rPr>
          <w:rFonts w:ascii="宋体" w:hAnsi="宋体" w:cs="宋体"/>
          <w:kern w:val="0"/>
          <w:sz w:val="36"/>
          <w:szCs w:val="36"/>
        </w:rPr>
      </w:pPr>
    </w:p>
    <w:p w14:paraId="337C4B81">
      <w:pPr>
        <w:rPr>
          <w:rFonts w:ascii="宋体" w:hAnsi="宋体" w:cs="宋体"/>
          <w:kern w:val="0"/>
          <w:sz w:val="36"/>
          <w:szCs w:val="36"/>
        </w:rPr>
      </w:pPr>
    </w:p>
    <w:p w14:paraId="5C7D048F">
      <w:pPr>
        <w:keepNext/>
        <w:keepLines/>
        <w:pageBreakBefore/>
        <w:widowControl/>
        <w:numPr>
          <w:ilvl w:val="0"/>
          <w:numId w:val="1"/>
        </w:numPr>
        <w:spacing w:before="156" w:beforeLines="50" w:after="120" w:line="64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Toc100765793"/>
      <w:bookmarkStart w:id="1" w:name="_Toc25018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 </w:t>
      </w:r>
      <w:bookmarkStart w:id="2" w:name="_Toc24954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竞争性谈判公告</w:t>
      </w:r>
      <w:bookmarkEnd w:id="0"/>
      <w:bookmarkEnd w:id="1"/>
      <w:bookmarkEnd w:id="2"/>
    </w:p>
    <w:p w14:paraId="1EBDB543">
      <w:pPr>
        <w:numPr>
          <w:ilvl w:val="0"/>
          <w:numId w:val="0"/>
        </w:num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  <w:t>运矿道路东侧绿化</w:t>
      </w:r>
    </w:p>
    <w:p w14:paraId="39B4A037">
      <w:pPr>
        <w:numPr>
          <w:ilvl w:val="0"/>
          <w:numId w:val="2"/>
        </w:numPr>
        <w:spacing w:line="360" w:lineRule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竞争性谈判编号：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1253260608001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 xml:space="preserve"> </w:t>
      </w:r>
    </w:p>
    <w:p w14:paraId="41961A3F">
      <w:pPr>
        <w:numPr>
          <w:numId w:val="0"/>
        </w:numPr>
        <w:spacing w:line="360" w:lineRule="auto"/>
        <w:rPr>
          <w:rFonts w:hint="eastAsia" w:asciiTheme="minorEastAsia" w:hAnsiTheme="minorEastAsia" w:cstheme="minorEastAsia"/>
          <w:szCs w:val="21"/>
          <w:lang w:val="zh-CN"/>
        </w:rPr>
      </w:pPr>
      <w:bookmarkStart w:id="3" w:name="_GoBack"/>
      <w:bookmarkEnd w:id="3"/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竞争性谈判名称</w:t>
      </w:r>
      <w:r>
        <w:rPr>
          <w:rFonts w:hint="eastAsia" w:asciiTheme="minorEastAsia" w:hAnsiTheme="minorEastAsia" w:cstheme="minorEastAsia"/>
          <w:szCs w:val="21"/>
          <w:lang w:val="zh-CN"/>
        </w:rPr>
        <w:t>：</w:t>
      </w:r>
    </w:p>
    <w:p w14:paraId="70A41BA9">
      <w:pPr>
        <w:spacing w:line="360" w:lineRule="auto"/>
        <w:ind w:firstLine="420" w:firstLineChars="200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  <w:lang w:eastAsia="zh-CN"/>
        </w:rPr>
        <w:t>运矿道路东侧绿化</w:t>
      </w:r>
    </w:p>
    <w:p w14:paraId="755979BA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三、概况与</w:t>
      </w:r>
      <w:r>
        <w:rPr>
          <w:rFonts w:hint="eastAsia" w:asciiTheme="minorEastAsia" w:hAnsiTheme="minorEastAsia" w:cstheme="minorEastAsia"/>
          <w:b/>
          <w:bCs/>
          <w:szCs w:val="21"/>
        </w:rPr>
        <w:t>标的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范围</w:t>
      </w:r>
    </w:p>
    <w:p w14:paraId="301AEB1D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1、施工地点：济南市章丘区埠村街道办济南鲍德冶金石灰石有限公司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翟家庄矿区</w:t>
      </w:r>
    </w:p>
    <w:p w14:paraId="26B9A8D6">
      <w:pPr>
        <w:spacing w:line="360" w:lineRule="auto"/>
        <w:ind w:firstLine="420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2、工期：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截至2026年6月30日</w:t>
      </w:r>
    </w:p>
    <w:p w14:paraId="56162F32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</w:t>
      </w:r>
      <w:r>
        <w:rPr>
          <w:rFonts w:hint="eastAsia" w:asciiTheme="minorEastAsia" w:hAnsiTheme="minorEastAsia" w:cstheme="minorEastAsia"/>
          <w:szCs w:val="21"/>
        </w:rPr>
        <w:t>标的</w:t>
      </w:r>
      <w:r>
        <w:rPr>
          <w:rFonts w:hint="eastAsia" w:asciiTheme="minorEastAsia" w:hAnsiTheme="minorEastAsia" w:cstheme="minorEastAsia"/>
          <w:szCs w:val="21"/>
          <w:lang w:val="zh-CN"/>
        </w:rPr>
        <w:t>范围：此次竞争性谈判采购范围为</w:t>
      </w:r>
      <w:r>
        <w:rPr>
          <w:rFonts w:hint="eastAsia" w:asciiTheme="minorEastAsia" w:hAnsiTheme="minorEastAsia" w:cstheme="minorEastAsia"/>
          <w:szCs w:val="21"/>
        </w:rPr>
        <w:t>公司指定的作业地点</w:t>
      </w:r>
      <w:r>
        <w:rPr>
          <w:rFonts w:hint="eastAsia" w:asciiTheme="minorEastAsia" w:hAnsiTheme="minorEastAsia" w:cstheme="minorEastAsia"/>
          <w:szCs w:val="21"/>
          <w:lang w:val="zh-CN"/>
        </w:rPr>
        <w:t>。（详见附件）</w:t>
      </w:r>
    </w:p>
    <w:p w14:paraId="5994E191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4、施工地点：济南市章丘区埠村街道办济南鲍德冶金石灰石有限公司翟家庄矿区</w:t>
      </w:r>
    </w:p>
    <w:p w14:paraId="467DCC5A">
      <w:pPr>
        <w:spacing w:line="420" w:lineRule="auto"/>
        <w:rPr>
          <w:rFonts w:hint="default" w:asciiTheme="minorEastAsia" w:hAnsiTheme="minorEastAsia" w:eastAsiaTheme="minorEastAsia" w:cs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Cs w:val="21"/>
          <w:lang w:val="en-US" w:eastAsia="zh-CN"/>
        </w:rPr>
        <w:t>四、资质要求：</w:t>
      </w:r>
    </w:p>
    <w:p w14:paraId="4ECA8284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1、依法成立，具有法人资格和一般纳税人资格；且具有建筑工程施工总承包三级及以上资质的施工企业；</w:t>
      </w:r>
    </w:p>
    <w:p w14:paraId="23ACB8B1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2、特种行业必须取得国家相关部门颁发的许可证书；</w:t>
      </w:r>
    </w:p>
    <w:p w14:paraId="20141B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3、具有良好的企业信誉和健全的财务会计制度；</w:t>
      </w:r>
    </w:p>
    <w:p w14:paraId="2B77C8E6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4、具有履行合同必需的设备、专业技术、资质能力；</w:t>
      </w:r>
    </w:p>
    <w:p w14:paraId="06CF6B97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5、有依法缴纳税收和社会保障金的良好纪录；</w:t>
      </w:r>
    </w:p>
    <w:p w14:paraId="0E5492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6、在经营活动中没有违法记录；</w:t>
      </w:r>
    </w:p>
    <w:p w14:paraId="588FB810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7、如有单位资料造假，一经发现，立即在网上公示，并永久取消投标资格。</w:t>
      </w:r>
    </w:p>
    <w:p w14:paraId="2E3B305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 xml:space="preserve">五、公告及报名时间 </w:t>
      </w:r>
    </w:p>
    <w:p w14:paraId="7FAB4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both"/>
        <w:textAlignment w:val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1、报名方式：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0822B4C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2、公告和报名时间：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2026年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8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日至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0日</w:t>
      </w:r>
      <w:r>
        <w:rPr>
          <w:rFonts w:hint="eastAsia" w:asciiTheme="minorEastAsia" w:hAnsiTheme="minorEastAsia" w:cstheme="minorEastAsia"/>
          <w:color w:val="FF0000"/>
          <w:szCs w:val="21"/>
        </w:rPr>
        <w:t xml:space="preserve"> </w:t>
      </w:r>
    </w:p>
    <w:p w14:paraId="4A13C4A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3、踏勘现场：不统一组织踏勘现场，有需求者可联系</w:t>
      </w:r>
      <w:r>
        <w:rPr>
          <w:rFonts w:hint="eastAsia" w:asciiTheme="minorEastAsia" w:hAnsiTheme="minorEastAsia" w:cstheme="minorEastAsia"/>
          <w:szCs w:val="21"/>
          <w:lang w:val="zh-CN"/>
        </w:rPr>
        <w:t>业务（技术）联系人</w:t>
      </w:r>
    </w:p>
    <w:p w14:paraId="7358E17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>六、竞争性谈判文件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:</w:t>
      </w:r>
    </w:p>
    <w:p w14:paraId="16268EC5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谈判</w:t>
      </w:r>
      <w:r>
        <w:rPr>
          <w:rFonts w:hint="eastAsia" w:asciiTheme="minorEastAsia" w:hAnsiTheme="minorEastAsia" w:cstheme="minorEastAsia"/>
          <w:szCs w:val="21"/>
          <w:lang w:val="zh-CN"/>
        </w:rPr>
        <w:t>时间：2026年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Cs w:val="21"/>
          <w:lang w:val="zh-CN"/>
        </w:rPr>
        <w:t>1日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上午8：30分</w:t>
      </w:r>
    </w:p>
    <w:p w14:paraId="7BC0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both"/>
        <w:textAlignment w:val="auto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2、获取方式：缴纳参与保证金后，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4D0AB8F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3、售价：谈判文件免费。</w:t>
      </w:r>
    </w:p>
    <w:p w14:paraId="5DBB167E">
      <w:pPr>
        <w:spacing w:line="360" w:lineRule="auto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七、参与保证金：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壹仟元人民币</w:t>
      </w:r>
      <w:r>
        <w:rPr>
          <w:rFonts w:hint="eastAsia" w:asciiTheme="minorEastAsia" w:hAnsiTheme="minorEastAsia" w:cstheme="minorEastAsia"/>
          <w:szCs w:val="21"/>
          <w:lang w:val="zh-CN"/>
        </w:rPr>
        <w:t>；</w:t>
      </w:r>
    </w:p>
    <w:p w14:paraId="56D70EF1">
      <w:pPr>
        <w:spacing w:line="360" w:lineRule="auto"/>
        <w:ind w:firstLine="420" w:firstLineChars="200"/>
        <w:rPr>
          <w:rFonts w:asciiTheme="minorEastAsia" w:hAnsiTheme="minorEastAsia" w:cstheme="minorEastAsia"/>
          <w:b w:val="0"/>
          <w:bCs w:val="0"/>
          <w:szCs w:val="21"/>
          <w:lang w:val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1、参与保证金最后缴纳日期：202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17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时。逾期缴纳的，参与将被拒绝。</w:t>
      </w:r>
    </w:p>
    <w:p w14:paraId="3ABE4F6C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2、参与保证金应从参与人银行基本账户内转出或汇出，为方便退还不出具收据。交款注明招标编号及款项性质（参与保证金）。</w:t>
      </w:r>
    </w:p>
    <w:p w14:paraId="73FDE4DB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3、缴纳参与保证金账户信息：</w:t>
      </w:r>
    </w:p>
    <w:p w14:paraId="0FD92523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 xml:space="preserve">  名  称：济南鲍德冶金石灰石有限公司</w:t>
      </w:r>
    </w:p>
    <w:p w14:paraId="5380C50C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  <w:lang w:val="zh-TW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zh-TW"/>
        </w:rPr>
        <w:t xml:space="preserve">  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zh-TW"/>
        </w:rPr>
        <w:t>开户行：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中国农业银行股份有限公司济南埠村支行</w:t>
      </w:r>
    </w:p>
    <w:p w14:paraId="19FCE8AF">
      <w:pPr>
        <w:widowControl/>
        <w:spacing w:line="360" w:lineRule="auto"/>
        <w:ind w:firstLine="630" w:firstLineChars="30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账  号：15137301040002766</w:t>
      </w:r>
    </w:p>
    <w:p w14:paraId="6E76BC0E">
      <w:pPr>
        <w:widowControl/>
        <w:spacing w:line="360" w:lineRule="auto"/>
        <w:ind w:firstLine="630" w:firstLineChars="300"/>
        <w:jc w:val="left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kern w:val="0"/>
          <w:szCs w:val="21"/>
        </w:rPr>
        <w:t>行  号：103451013618</w:t>
      </w:r>
    </w:p>
    <w:p w14:paraId="288238D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4、参与保证金在合同签订后</w:t>
      </w:r>
      <w:r>
        <w:rPr>
          <w:rFonts w:hint="eastAsia" w:asciiTheme="minorEastAsia" w:hAnsiTheme="minorEastAsia" w:cstheme="minorEastAsia"/>
          <w:szCs w:val="21"/>
        </w:rPr>
        <w:t>20</w:t>
      </w:r>
      <w:r>
        <w:rPr>
          <w:rFonts w:hint="eastAsia" w:asciiTheme="minorEastAsia" w:hAnsiTheme="minorEastAsia" w:cstheme="minorEastAsia"/>
          <w:szCs w:val="21"/>
          <w:lang w:val="zh-CN"/>
        </w:rPr>
        <w:t>日内原账户无息退还。</w:t>
      </w:r>
    </w:p>
    <w:p w14:paraId="635EC218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5、在递交参与文件时，携带参与保证金交款回单，以备查验。</w:t>
      </w:r>
    </w:p>
    <w:p w14:paraId="1893D8FE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八、参与文件的递交</w:t>
      </w:r>
    </w:p>
    <w:p w14:paraId="4CC7BB17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1、参与文件递交的截止时间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2026年6月11日谈判时自带</w:t>
      </w:r>
      <w:r>
        <w:rPr>
          <w:rFonts w:hint="eastAsia" w:asciiTheme="minorEastAsia" w:hAnsiTheme="minorEastAsia" w:cstheme="minorEastAsia"/>
          <w:szCs w:val="21"/>
          <w:lang w:val="zh-CN"/>
        </w:rPr>
        <w:t>。</w:t>
      </w:r>
    </w:p>
    <w:p w14:paraId="09BBC50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2、逾期送达的、未送达指定地点的或者不按照竞争性谈判文件要求密封的参与文件，招标人将予以拒收。</w:t>
      </w:r>
    </w:p>
    <w:p w14:paraId="3E863DE4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九、资格审查方式</w:t>
      </w:r>
    </w:p>
    <w:p w14:paraId="4DB578B0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12EE24E7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十、发布公告的媒介</w:t>
      </w:r>
    </w:p>
    <w:p w14:paraId="1C0066D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本次谈判公告在济钢集团阳光采购与管理信息平台上发布。</w:t>
      </w:r>
    </w:p>
    <w:p w14:paraId="1D5E2F90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十一、联系方式及谈判时间</w:t>
      </w:r>
    </w:p>
    <w:p w14:paraId="3BFB8BE4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1、联系人：</w:t>
      </w:r>
      <w:r>
        <w:rPr>
          <w:rFonts w:hint="eastAsia" w:asciiTheme="minorEastAsia" w:hAnsiTheme="minorEastAsia" w:cstheme="minorEastAsia"/>
          <w:szCs w:val="21"/>
        </w:rPr>
        <w:t>郑</w:t>
      </w:r>
      <w:r>
        <w:rPr>
          <w:rFonts w:hint="eastAsia" w:asciiTheme="minorEastAsia" w:hAnsiTheme="minorEastAsia" w:cstheme="minorEastAsia"/>
          <w:szCs w:val="21"/>
          <w:lang w:val="zh-CN"/>
        </w:rPr>
        <w:t>工，联系电话：</w:t>
      </w:r>
      <w:r>
        <w:rPr>
          <w:rFonts w:hint="eastAsia" w:asciiTheme="minorEastAsia" w:hAnsiTheme="minorEastAsia" w:cstheme="minorEastAsia"/>
          <w:szCs w:val="21"/>
        </w:rPr>
        <w:t xml:space="preserve">83719629  </w:t>
      </w: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15098838165</w:t>
      </w:r>
      <w:r>
        <w:rPr>
          <w:rFonts w:hint="eastAsia" w:asciiTheme="minorEastAsia" w:hAnsiTheme="minorEastAsia" w:cstheme="minorEastAsia"/>
          <w:szCs w:val="21"/>
          <w:lang w:val="zh-CN"/>
        </w:rPr>
        <w:t>；</w:t>
      </w:r>
    </w:p>
    <w:p w14:paraId="6F585747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2、业务（技术）联系人：路工，联系电话</w:t>
      </w:r>
      <w:r>
        <w:rPr>
          <w:rFonts w:hint="eastAsia" w:asciiTheme="minorEastAsia" w:hAnsiTheme="minorEastAsia" w:cstheme="minorEastAsia"/>
          <w:szCs w:val="21"/>
        </w:rPr>
        <w:t>： 15106913691</w:t>
      </w:r>
    </w:p>
    <w:p w14:paraId="475AD74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</w:rPr>
        <w:t>谈判时间202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cstheme="minorEastAsia"/>
          <w:szCs w:val="21"/>
        </w:rPr>
        <w:t>日上午8</w:t>
      </w:r>
      <w:r>
        <w:rPr>
          <w:rFonts w:hint="eastAsia" w:asciiTheme="minorEastAsia" w:hAnsi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szCs w:val="21"/>
        </w:rPr>
        <w:t>30时，如有变化另行电话通知，</w:t>
      </w:r>
      <w:r>
        <w:rPr>
          <w:rFonts w:hint="eastAsia" w:asciiTheme="minorEastAsia" w:hAnsiTheme="minorEastAsia" w:cstheme="minorEastAsia"/>
          <w:szCs w:val="21"/>
          <w:lang w:val="zh-CN"/>
        </w:rPr>
        <w:t>地点为济南鲍德冶金石灰石有限公司一楼东会议室。</w:t>
      </w:r>
    </w:p>
    <w:p w14:paraId="66723121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十二、谈判内容和其他要求以最终的谈判文件为准。</w:t>
      </w:r>
    </w:p>
    <w:p w14:paraId="2E0AFD2D">
      <w:pPr>
        <w:spacing w:line="360" w:lineRule="auto"/>
        <w:ind w:firstLine="4935" w:firstLineChars="235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济南鲍德冶金石灰石有限公司</w:t>
      </w:r>
    </w:p>
    <w:p w14:paraId="5D1DB969">
      <w:pPr>
        <w:spacing w:line="360" w:lineRule="auto"/>
        <w:ind w:firstLine="5460" w:firstLineChars="2600"/>
        <w:rPr>
          <w:rFonts w:asciiTheme="minorEastAsia" w:hAnsiTheme="minorEastAsia" w:cstheme="minorEastAsia"/>
          <w:color w:val="FF0000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2026年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 w:cstheme="minorEastAsia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color w:val="FF0000"/>
          <w:szCs w:val="21"/>
          <w:lang w:val="zh-CN"/>
        </w:rPr>
        <w:t xml:space="preserve"> </w:t>
      </w:r>
    </w:p>
    <w:p w14:paraId="6843945F">
      <w:pPr>
        <w:pStyle w:val="5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</w:p>
    <w:p w14:paraId="20B0AE6F">
      <w:pPr>
        <w:pStyle w:val="5"/>
        <w:ind w:left="0" w:leftChars="0" w:firstLine="0" w:firstLineChars="0"/>
        <w:rPr>
          <w:rFonts w:asciiTheme="minorEastAsia" w:hAnsiTheme="minorEastAsia" w:eastAsiaTheme="minorEastAsia" w:cstheme="minorEastAsia"/>
          <w:sz w:val="21"/>
          <w:szCs w:val="21"/>
          <w:lang w:val="zh-CN"/>
        </w:rPr>
      </w:pPr>
    </w:p>
    <w:p w14:paraId="2604C7F6">
      <w:pPr>
        <w:pStyle w:val="5"/>
        <w:ind w:left="0" w:leftChars="0" w:firstLine="0" w:firstLineChars="0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zh-CN"/>
        </w:rPr>
        <w:t>附件：</w:t>
      </w:r>
    </w:p>
    <w:p w14:paraId="46E39A6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tbl>
      <w:tblPr>
        <w:tblStyle w:val="6"/>
        <w:tblW w:w="908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55"/>
        <w:gridCol w:w="1383"/>
        <w:gridCol w:w="900"/>
        <w:gridCol w:w="647"/>
        <w:gridCol w:w="718"/>
        <w:gridCol w:w="333"/>
        <w:gridCol w:w="1137"/>
        <w:gridCol w:w="1080"/>
        <w:gridCol w:w="1225"/>
      </w:tblGrid>
      <w:tr w14:paraId="36E5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88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14B2CB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b/>
                <w:color w:val="000000"/>
                <w:sz w:val="36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6"/>
                <w:szCs w:val="24"/>
              </w:rPr>
              <w:t>分部分项工程量清单</w:t>
            </w:r>
          </w:p>
        </w:tc>
      </w:tr>
      <w:tr w14:paraId="78F1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4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56FAB1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工程名称：园林绿化工程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B1A34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标段：运矿道路东侧绿化</w:t>
            </w:r>
          </w:p>
        </w:tc>
        <w:tc>
          <w:tcPr>
            <w:tcW w:w="3775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3F8CAB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第 1 页  共 1 页</w:t>
            </w:r>
          </w:p>
        </w:tc>
      </w:tr>
      <w:tr w14:paraId="1FA9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15AF5F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662B3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138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4A1538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项目名称</w:t>
            </w:r>
          </w:p>
          <w:p w14:paraId="258DDD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73C88B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6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458661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1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5DC3A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工程数量</w:t>
            </w:r>
          </w:p>
        </w:tc>
        <w:tc>
          <w:tcPr>
            <w:tcW w:w="33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489B23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3E38C3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金额（元）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3D456E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93C26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</w:tr>
      <w:tr w14:paraId="3296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54CE54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6D9DC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10EA8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2B72E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707ADE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524E5F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1C7904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58836E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4258CD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1F0A13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其中：暂估价</w:t>
            </w:r>
          </w:p>
        </w:tc>
      </w:tr>
      <w:tr w14:paraId="5A98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DC135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4C7549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050102007001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0FFB4E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栽植色带</w:t>
            </w:r>
          </w:p>
          <w:p w14:paraId="718860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1.土地整平（施肥）</w:t>
            </w:r>
          </w:p>
          <w:p w14:paraId="79561F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2.种植扶芳藤20-25株/㎡</w:t>
            </w:r>
          </w:p>
          <w:p w14:paraId="068B06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3.株高＞50cm</w:t>
            </w:r>
          </w:p>
          <w:p w14:paraId="43E7E1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4.养护期一年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718C8B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49D879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BEDDE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700</w:t>
            </w: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3DEF8C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6368C2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62FA32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1B7879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 w14:paraId="395B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4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63E116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3650BB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B95EE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35CE39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638A86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559A22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780D55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57DF50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 w14:paraId="42B7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4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2B0589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24"/>
              </w:rPr>
              <w:t>合    计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4D4C8B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04215D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065948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7258CC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6AAA38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4B2AC3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 w14:paraId="4B5B07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</w:tbl>
    <w:p w14:paraId="603842D6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DC8401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        </w:t>
      </w:r>
    </w:p>
    <w:p w14:paraId="2C097A3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                         电话：                    </w:t>
      </w:r>
    </w:p>
    <w:p w14:paraId="523E96E0">
      <w:pPr>
        <w:ind w:firstLine="5100" w:firstLineChars="17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1E165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69BEB"/>
    <w:multiLevelType w:val="singleLevel"/>
    <w:tmpl w:val="89169BEB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D89EDE0D"/>
    <w:multiLevelType w:val="singleLevel"/>
    <w:tmpl w:val="D89EDE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95E89"/>
    <w:rsid w:val="279327D6"/>
    <w:rsid w:val="5BF36912"/>
    <w:rsid w:val="7D59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c 1"/>
    <w:basedOn w:val="1"/>
    <w:next w:val="1"/>
    <w:qFormat/>
    <w:uiPriority w:val="99"/>
    <w:pPr>
      <w:spacing w:before="120" w:after="120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1459</Words>
  <Characters>1682</Characters>
  <Lines>0</Lines>
  <Paragraphs>0</Paragraphs>
  <TotalTime>0</TotalTime>
  <ScaleCrop>false</ScaleCrop>
  <LinksUpToDate>false</LinksUpToDate>
  <CharactersWithSpaces>1819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2026-06-08T02:06:00Z</dcterms:created>
  <dc:creator>换个名字吧</dc:creator>
  <cp:lastModifiedBy>换个名字吧</cp:lastModifiedBy>
  <dcterms:modified xsi:type="dcterms:W3CDTF">2026-06-08T02:24:17Z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CF92677BA6FA4D858FFCD37F39181449_11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